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11" w:rsidRDefault="000E54B5">
      <w:r>
        <w:rPr>
          <w:noProof/>
          <w:lang w:eastAsia="fr-FR"/>
        </w:rPr>
        <w:drawing>
          <wp:inline distT="0" distB="0" distL="0" distR="0">
            <wp:extent cx="5760720" cy="380936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282" w:rsidRDefault="009F5B11">
      <w:r>
        <w:t xml:space="preserve">Figure 1 : </w:t>
      </w:r>
      <w:r w:rsidR="000E54B5">
        <w:t>Prédictions du potentiel de récupération de carbone post-exploitation dans les forêts amazoniennes. La carte représente la quantité de carbone qui serait récupérée 10 ans après une exploitation sélective provoquant une perte de 40% de la biomasse initiale. Ces prédictions ont été obtenues à partir d’un modèle calibré avec les données du réseau TmFO (Piponiot et al</w:t>
      </w:r>
      <w:proofErr w:type="gramStart"/>
      <w:r w:rsidR="000E54B5">
        <w:t>.</w:t>
      </w:r>
      <w:proofErr w:type="gramEnd"/>
      <w:r w:rsidR="000E54B5">
        <w:t xml:space="preserve">, 2016, eLife). </w:t>
      </w:r>
      <w:bookmarkStart w:id="0" w:name="_GoBack"/>
      <w:bookmarkEnd w:id="0"/>
    </w:p>
    <w:p w:rsidR="00284282" w:rsidRDefault="00284282"/>
    <w:p w:rsidR="009F5B11" w:rsidRDefault="009F5B11"/>
    <w:p w:rsidR="009F5B11" w:rsidRDefault="009F5B11"/>
    <w:p w:rsidR="009F5B11" w:rsidRDefault="009F5B11"/>
    <w:p w:rsidR="009F5B11" w:rsidRDefault="009F5B11"/>
    <w:p w:rsidR="009F5B11" w:rsidRDefault="009F5B11"/>
    <w:p w:rsidR="009F5B11" w:rsidRDefault="009F5B11"/>
    <w:p w:rsidR="00284282" w:rsidRDefault="00284282">
      <w:r>
        <w:rPr>
          <w:noProof/>
          <w:lang w:eastAsia="fr-FR"/>
        </w:rPr>
        <w:lastRenderedPageBreak/>
        <w:drawing>
          <wp:inline distT="0" distB="0" distL="0" distR="0">
            <wp:extent cx="5760720" cy="38157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acou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282" w:rsidRDefault="00284282">
      <w:r>
        <w:t>Figure 2 : Parcelle exploitée à Paracou, Guyane française</w:t>
      </w:r>
      <w:r w:rsidR="003C2049">
        <w:t>. Ce site, ainsi que 14 autres sites du réseau TmFO répartis en Amazonie, a été expérimentalement exploité et la dynamique post-exploitation a été suivie sur des parcelles permanentes d’inventaires forestiers (845 ha sur toute l’Amazonie, pendant 10 à 35 ans). Ces données ont servi à calibrer les modèle</w:t>
      </w:r>
      <w:r w:rsidR="00AD21D3">
        <w:t xml:space="preserve">s développés dans cette thèse. </w:t>
      </w:r>
    </w:p>
    <w:sectPr w:rsidR="0028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C"/>
    <w:rsid w:val="000E54B5"/>
    <w:rsid w:val="001F45E8"/>
    <w:rsid w:val="00284282"/>
    <w:rsid w:val="00310E7C"/>
    <w:rsid w:val="00312E63"/>
    <w:rsid w:val="003C2049"/>
    <w:rsid w:val="009F5B11"/>
    <w:rsid w:val="00A42530"/>
    <w:rsid w:val="00A966AE"/>
    <w:rsid w:val="00AD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815CE-C939-4C11-83EB-44426AFF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Piponiot</dc:creator>
  <cp:keywords/>
  <dc:description/>
  <cp:lastModifiedBy>Camille Piponiot</cp:lastModifiedBy>
  <cp:revision>3</cp:revision>
  <dcterms:created xsi:type="dcterms:W3CDTF">2019-04-30T14:54:00Z</dcterms:created>
  <dcterms:modified xsi:type="dcterms:W3CDTF">2019-05-16T13:19:00Z</dcterms:modified>
</cp:coreProperties>
</file>